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3 vom 24. Januar 2023</w:t>
      </w:r>
    </w:p>
    <w:p>
      <w:r>
        <w:t>VS Kantonsgericht, 2023-01-24, FR</w:t>
      </w:r>
    </w:p>
    <w:p>
      <w:r>
        <w:rPr>
          <w:b/>
        </w:rPr>
        <w:t xml:space="preserve">Quelle: </w:t>
      </w:r>
      <w:r>
        <w:t>https://mcp.opencaselaw.ch/entscheid/vs_gerichte_S1 21 3</w:t>
      </w:r>
    </w:p>
    <w:p>
      <w:r>
        <w:t>FR: VS_GERICHTE S1 21 3 du 24 janvier 2023</w:t>
      </w:r>
    </w:p>
    <w:p>
      <w:r>
        <w:t>IT: VS_GERICHTE S1 21 3 del 24 gennaio 2023</w:t>
      </w:r>
    </w:p>
    <w:p>
      <w:pPr>
        <w:pStyle w:val="Heading2"/>
      </w:pPr>
      <w:r>
        <w:t>Regeste</w:t>
      </w:r>
    </w:p>
    <w:p>
      <w:r>
        <w:t>S1 21 3 JUGEMENT DU 24 JANVIER 2023 Tribunal cantonal du Valais Cour des assurances sociales Composition : Candido Prada, président ; Jean-Bernard Fournier et Christophe Joris, juges ; Pierre-André Moix, greffier en la cause X _________, recourant, représenté par Y _________, curatrice, contre OFFICE CANTONAL AI DU VALAIS, 1950 Sion, intimé (Refus de prestations, capacité de travail)</w:t>
      </w:r>
    </w:p>
    <w:p>
      <w:pPr>
        <w:pStyle w:val="Heading2"/>
      </w:pPr>
      <w:r>
        <w:t>Erwägungen</w:t>
      </w:r>
    </w:p>
    <w:p>
      <w:r>
        <w:rPr>
          <w:b/>
        </w:rPr>
        <w:t>E. 18</w:t>
      </w:r>
    </w:p>
    <w:p>
      <w:r>
        <w:t>novembre précédent a été interjeté dans le délai légal de trente jours prolongé des féries de fin d’année (art. 38 al. 4 let. c et 60 LPGA) et devant l'instance compétente (art. 56 et 57 LPGA et 69 LAI ; art. 81a al. 1 de la loi du 6 octobre 1976 sur la procédure et la juridiction administratives – LPJA ; RS/VS 172.6). Il répond par ailleurs aux autres</w:t>
      </w:r>
    </w:p>
    <w:p>
      <w:r>
        <w:t>- 6 - conditions formelles de recevabilité (art. 61 let. b LPGA), de sorte que la Cour doit entrer en matière. 1.2 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Conformément aux règles de droit transitoire, l’ancien droit reste en l’espèce applicable, au vu de la date de la décision litigieuse rendue avant le 1er janvier 2022 (ATF 144 V 210 consid. 4.3.1 ; 138 V 176 consid. 7.1 ; arrêt 9C_881/2018 du 6 mars 2019 consid. 4.1). 2.1 Le litige porte sur le droit du recourant à des prestations de l’assurance-invalidité et plus particulièrement sur l’évaluation de sa capacité de travail. 2.2. A teneur de l'article 17 LPGA,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Tout changement important des circonstances propre à influencer le degré d’invalidité, et donc le droit à la rente, peut motiver une révision. Pour déterminer si un tel changement s’est produit, il y a lieu de comparer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 p. 110 ss). On est notamment en présence d'un motif de révision, c'est-à-dire d'une modification déterminante des circonstances donnant droit à la rente, en cas de modification de l'état de santé. Par contre, il n'y a pas de motif de révision lorsqu'on est en présence d'une évaluation simplement différente d'une situation qui est pour l'essentiel restée la même (arrêt du Tribunal fédéral 9C_748/2013 du 10 février 2014 consid. 4.3; Meyer-Blaser, Bundesgesetz über die Invalidenversicherung, Zurich 1997, p. 259).</w:t>
      </w:r>
    </w:p>
    <w:p>
      <w:r>
        <w:t>- 7 - L’évaluation de l’invalidité en procédure de révision obéit aux prescriptions générales applicables à l’évaluation du taux d’invalidité. Les circonstances déterminantes pour l’appréciation du cas doivent être à nouveau examinées et établies. 2.3 Selon la jurisprudence constante du Tribunal fédéral, l'objet de l'assurance n'est pas l'atteinte à la santé en soi, mais les conséquences économiques qui en découlent, c'est- à-dire l'incapacité de réaliser un gain par un travail exigible. L'assurance-invalidité n'est, en outre, pas une couverture contre la simple perte de gain: c'est une garantie contre la perte de la capacité de gain, ce qui est tout autre chose. La notion d'incapacité de travail n'est pas nécessairement identique à celle d'incapacité de gain. Une personne présente une incapacité de travail si, en raison d'une atteinte à sa santé physique ou mentale, elle ne peut pas accomplir une partie ou la totalité de ses tâches dans sa profession ou son domaine d'activité. Est par contre réputée incapacité de gain toute diminution de l'ensemble ou d'une partie des possibilités de gain de l'assuré sur le marché du travail équilibré dans son domaine d'activité, si cette diminution résulte d'une atteinte à sa santé physique ou mentale et qu'elle persiste après les traitements et les mesures de réadaptation exigibles. L'invalidité est donc une notion économique et non médicale; elle ne se confond pas forcément avec le taux de l'incapacité fonctionnelle, tel que le détermine le médecin; ce sont les conséquences économiques de l'incapacité fonctionnelle qu'il importe d'évaluer (arrêt du tribunal fédéral 9C_753/2012 du 21 septembre 2012 ; ATF 110 V 275 consid. 4a, 105 V 207 consid. 2). L'invalidité étant ainsi une notion économique, une personne atteinte dans sa santé, même de façon grave, n'est pas invalide si elle ne subit pas une diminution de longue durée de sa capacité de gain. Le dossier médical n'est cependant pas dépourvu d'importance: la description du handicap, des séquelles de la maladie, des fonctions entravées, des risques de rechutes et de l'évolution possible ou probable permet notamment de juger quelles activités demeurent raisonnablement exigibles d'un assuré. Pour pouvoir calculer le degré d'invalidité, l'administration (ou le juge, s'il y a eu un recours) a ainsi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Le juge doit examiner de manière</w:t>
      </w:r>
    </w:p>
    <w:p>
      <w:r>
        <w:t>- 8 -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352 consid. 3a). L'élément déterminant pour la valeur probante n'est ni l'origine du moyen de preuve ni sa désignation comme rapport ou comme expertise, mais bel et bien son contenu (ATF 125 V 352 consid. 3a et les références; VSI 2001 p. 108 consid. 3a). Un rapport médical ne saurait ainsi être écarté pour la simple et unique raison qu'il émane du médecin traitant ou qu'il a été établi par un médecin se trouvant dans un rapport de subordination vis-à-vis d'un assureur. De même,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(arrêts 9C_607/2008 du 27 avril 2009 consid. 3.2 et 9C_773/2007 du 23 juin 2008 consid. 5.2). Selon la jurisprudence, les facteurs psychosociaux ou socioculturels ne figurent pas au nombre des atteintes à la santé susceptibles d'entraîner une incapacité de gain au sens de la loi. Pour qu'une invalidité soit reconnue, il est nécessaire, dans chaque cas, qu'un substrat médical pertinent, entravant la capacité de travail (et de gain) de manière importante, soit mis en évidence par le médecin spécialisé. Une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p. 299). La jurisprudence (ATF 125 V 351 consid. 3b/ee ; arrêt du Tribunal fédéral 8C_517/2017 du 12 juillet 2018 consid. 6.1) a posé le principe que le seul fait que les médecins de l'assurance sont des employés de celle-ci ne permet pas de conclure à l'existence d'une prévention et d'un manque d'objectivité. Il convient toutefois de poser des exigences strictes en matière de preuve ; une expertise devra être ordonnée si des doutes, même faibles, subsistent quant à la fiabilité ou à la pertinence des constatations effectuées par les médecins de l'assurance (ATF 142 V 58 consid. 5 et ATF 135 V 465 consid. 4.4 et 4.6).</w:t>
      </w:r>
    </w:p>
    <w:p>
      <w:r>
        <w:t>- 9 -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car, d'expérience, en raison de la relation de confiance liant le patient à son médecin, celui- 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8C_517/2017 précité consid. 6.1). 2.4 Les atteintes à la santé psychique – y compris les troubles somatoformes douloureux persistants ou fibromyalgie – peuvent, comme les atteintes physiques, entraîner une invalidité au sens de l'article 4 alinéa 1 LAI en lien avec l'article 8 LPGA (ATF 141 V 281 consid. 3.7.1; 102 V 165; VSI 2001 p. 223 consid. 2b et les références citées; cf. également ATF 127 V 294 consid. 4c).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(ATF 143 V 409), le Tribunal fédéral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et 131 V 49 consid. 1.2). Depuis l'ATF 141 V 281, la capacité de travail réellement exigible en présence de troubles psychiques doit être évaluée dans le cadre d'une procédure d'établissement des faits structurée et sur la base d'une vision d'ensemble, à la lumière des circonstances du cas particulier et sans résultat prédéfini. Cette évaluation doit se dérouler en tenant</w:t>
      </w:r>
    </w:p>
    <w:p>
      <w:r>
        <w:t>- 10 -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Ainsi, le premier groupe d’indicateurs a trait à l’examen du degré de gravité fonctionnel de l’atteinte à la santé, au travers du caractère plus ou moins prononcé des éléments pertinents pour le diagnostic, du déroulement et de l’issue (succès, résistance, échec) d’un traitement conduit dans les règles de l’art ou d’une réadaptation, et enfin de l’effet d’une éventuelle comorbidité sur les ressources personnelles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à savoir si les limitations alléguées se manifestent de la même manière dans tous les domaines de la vie (travail et loisirs) et si la souffrance se traduit par un recours aux offres thérapeutiques existantes (ATF 141 V 281 consid. 4.4 à 4.4.2). Il n’est pas nécessaire de procéder à un examen structuré tel que sus décrit lorsque des médecins spécialisés nient, d’une manière fondée et avec motivation, la présence d’une incapacité de travail, que leurs rapports médicaux répondent aux exigences jurisprudentielles et que des éventuels avis contradictoires n’ont pas de force probante, notamment parce qu’ils proviennent de médecins qui ne sont pas spécialisés (ATF 143 V 418 consid. 7.1). A titre d’exemple, il n’y a en principe pas besoin de réaliser un examen structuré dans les cas où il est établi, selon la vraisemblance prépondérante, que la personne assurée ne souffre que d’un trouble dépressif léger qui n’est pas encore chronique et que, de plus, elle ne présente pas de comorbidités (ATF 143 V 409 consid. 4.5.3 ; arrêts du Tribunal fédéral 9C_14/2018 du 12 mars 2018 consid 2.1 et 9C_580/2017 du 16 janvier 2018 consid. 3.1). La mise en œuvre d’un examen structuré ne sera également pas nécessaire, lorsqu’un assuré présente notamment une dysthymie ainsi qu’un trouble dépressif en rémission (arrêt du Tribunal fédéral 8C_341/2018 du 13 août 2018).</w:t>
      </w:r>
    </w:p>
    <w:p>
      <w:r>
        <w:t>- 11 - 2.5 Les syndromes de dépendance primaires à des substances psychotropes doivent désormais également faire l'objet d'une évaluation normative et structurée selon l'ATF 141 V 281 (ATF 145 V 215 consid. 6.2). Par le passé, une toxicomanie (resp. un alcoolisme) n'était pertinente dans l'assurance-invalidité que lorsqu'elle engendrait une maladie ou occasionnait un accident ou lorsque la dépendance résultait d'une maladie. Cette jurisprudence partait somme toute du principe que la personne dépendante était elle-même responsable de son état et que toute dépendance pouvait sans autre être traitée par un sevrage. Dans son arrêt 145 V 215 du 11 juillet 2019, le Tribunal fédéral a posé que les toxicomanies devaient désormais être traitées de la même manière que les maladies psychiques. Il faut dès lors examiner à l’aune de la grille d’évaluation jusqu'à quel point un syndrome de dépendance influence la capacité de travail et, dans certains cas, accorder une rente d’invalidité. Celle-ci sera couplée à l'obligation de diminuer le dommage par des traitements médicaux, un sevrage ou toute autre mesure en faveur de la réinsertion. Il sied ainsi désormais d’examiner si les avis médicaux versés au dossier répondent suffisamment clairement à cette exigence. Le fait qu'une expertise psychiatrique n'a pas été établie selon les nouveaux standards posés par l'ATF 141 V 281 -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(ATF 141 V 281 consid. 8 p. 309; 137 V 210 consid. 6 p. 266). 3.1 En l'occurrence, il sied d’examiner si et comment l’état de santé de l’assuré, ainsi que sa capacité de travail, ont évolué depuis la décision de l’OAI du 20 novembre 2012, date de la dernière décision ayant fait l’objet d’un examen complet du droit à la rente. A cette époque, le Dr E _________ avait retenu lors d’une expertise les diagnostics de syndrome de dépendance à plusieurs substances psycho-actives (F19.2), d’épisode dépressif léger (F32.0) et de personnalité dyssociale (F60.2). Le recourant consommait alors régulièrement du cannabis et était sous traitement de méthadone à raison de 50mg par jour. L’expert avait relevé une estime de soi diminuée, avec une baisse de l’intérêt et du plaisir, sans toutefois de présence de tristesse et sans idées suicidaires. Il avait également été relevé que l’assuré peinait à se conformer aux normes sociales, avec des</w:t>
      </w:r>
    </w:p>
    <w:p>
      <w:r>
        <w:t>- 12 - comportements irresponsables par son incapacité à assumer un emploi stable et à honorer ses obligations financières. Des vols et autres délits afin de se procurer de l’argent pour assouvir ses besoins en substances psychotropes avaient également eu lieu, sans prise de conscience quant aux conséquences de ces comportements délictueux. Dans le cadre de l’instruction de la nouvelle demande de prestations déposée par le recourant en juillet 2020, son psychiatre traitant, le Dr F _________, a fait état d’une personnalité borderline (F60.31), d’une utilisation de dérivés du cannabis (F12.2), d’une utilisation d’alcool (F10.1) et de kleptomanie (F63.2). Aucun trouble dépressif n’était désormais relevé. A la lecture de ces diagnostics, on constate que la situation est restée essentiellement la même qu’en 2012 ; on peut même considérer qu’elle s’est améliorée, l’épisode dépressif n’étant plus relevé par le psychiatre traitant. A cela s’ajoute encore le fait que le recourant prenait 50mg de méthadone par jour en 2012 et que le dosage de ce médicament a été réduit à 30mg par jour en 2019. Enfin, la prise de neuroleptique présente à l’époque n’est plus d’actualité. Il convient également de relever que l’assuré a été en mesure d’exercer une activité professionnelle et que la dernière en date, au service de la commune de Martigny, a été interrompue par un licenciement provoqué par une accusation de vol à l’encontre de l’assuré, et que ce ne sont ainsi pas ses troubles psychiques qui ont causé la résiliation de son contrat de travail. Le SMR a ensuite dûment analysé les circonstances du cas d’espèce afin de déterminer si les indicateurs jurisprudentiels permettant de retenir une incapacité de travail sur le plan psychique étaient réunis. Concernant le volet de gravité fonctionnelle, le SMR a retenu qu’il n’y avait pas d’atteinte grave à la santé psychique et les troubles décrits par le Dr F _________ n’étaient pas d’une gravité telle qu’exercer une activité lucrative était impossible. Le trouble retenu (personnalité dyssociale versus émotionnellement labile type borderline), était d’une sévérité tout relative, puisque l’assuré avait pu acquérir une formation et exercer une activité professionnelle nonobstant la présence de cette pathologie. S’agissant de l’examen de la cohérence et de la plausibilité, on ne peut considérer que les limitations ne sont pas uniformes dans tous les domaines de la vie, puisque le psychiatre traitant a constaté que le recourant pouvait gérer seul ses affaires courantes (ménage, courses, démarches administratives, utilisation de son téléphone portable et d’un ordinateur). Au niveau du traitement, il n’y a pas vraiment de suivi psychiatrique,</w:t>
      </w:r>
    </w:p>
    <w:p>
      <w:r>
        <w:t>- 13 - puisque le traitement se fait à la demande et que seul un antidépresseur est prescrit. Le SMR a ainsi qualifié ce suivi de « léger », la Cour de céans partageant cette appréciation. Compte tenu de ces éléments, il apparaît que la situation du recourant ne s’est pas aggravée depuis 2012, de sorte que l’évaluation de sa capacité de travail doit être confirmée. 4.1 Mal fondé, le recours est rejeté et la décision entreprise du 18 novembre 2020 confirmée. 4.2 Les frais de justice, arrêtés à 500 fr. en fonction de la difficulté de la présente procédure, sont mis à la charge du recourant qui succombe (art. 69 al. 1bis LAI et 3 al. 3 LAJ). L'indigence de ce dernier ayant néanmoins été reconnue et aucun indice ne permettant de retenir que sa situation économique aurait notablement changé depuis la décision présidentielle du 22 janvier 2021, le recourant doit être maintenu dans son droit à l'assistance judiciaire gratuite limitée à la dispense de l’avance de frais et émoluments de justice. Partant, il est dispensé de verser les frais de la cause mis à sa charge, lesquels sont provisoirement supportés par la caisse de l'État du Valais. Le recourant est toutefois rendue attentif au fait qu'il devra rembourser ladite caisse s’il devient ultérieurement en mesure de le faire (art. 17 OAJ ; RVJ 2000 p. 152).</w:t>
      </w:r>
    </w:p>
    <w:p>
      <w:r>
        <w:t>Prononce</w:t>
      </w:r>
    </w:p>
    <w:p>
      <w:r>
        <w:t>1. Le recours est rejeté. 2. Les frais, par 500 francs, sont mis à la charge de X _________ mais sont provisoirement supportés par l’État du Valais au titre de l'assistance judiciaire.</w:t>
      </w:r>
    </w:p>
    <w:p>
      <w:r>
        <w:t>Sion, le 24 janvier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